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1955" w:rsidRDefault="00215CA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8753475</wp:posOffset>
            </wp:positionH>
            <wp:positionV relativeFrom="margin">
              <wp:posOffset>-26035</wp:posOffset>
            </wp:positionV>
            <wp:extent cx="2238375" cy="33972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C20" w:rsidRDefault="004366F6">
      <w:pPr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color w:val="C00000"/>
          <w:sz w:val="52"/>
          <w:szCs w:val="52"/>
        </w:rPr>
        <w:t>Action Plan</w:t>
      </w:r>
      <w:r w:rsidR="004F0C20" w:rsidRPr="00E94005">
        <w:rPr>
          <w:rFonts w:ascii="Calibri-Bold" w:hAnsi="Calibri-Bold" w:cs="Calibri-Bold"/>
          <w:b/>
          <w:bCs/>
          <w:color w:val="C00000"/>
          <w:sz w:val="52"/>
          <w:szCs w:val="52"/>
        </w:rPr>
        <w:t>:  MAAI 2015</w:t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4F0C20">
        <w:rPr>
          <w:rFonts w:ascii="Calibri-Bold" w:hAnsi="Calibri-Bold" w:cs="Calibri-Bold"/>
          <w:b/>
          <w:bCs/>
          <w:sz w:val="44"/>
          <w:szCs w:val="44"/>
        </w:rPr>
        <w:tab/>
      </w:r>
      <w:r w:rsidR="00E94005">
        <w:rPr>
          <w:rFonts w:ascii="Calibri-Bold" w:hAnsi="Calibri-Bold" w:cs="Calibri-Bold"/>
          <w:b/>
          <w:bCs/>
          <w:sz w:val="44"/>
          <w:szCs w:val="44"/>
        </w:rPr>
        <w:t xml:space="preserve"> </w:t>
      </w:r>
      <w:r w:rsidR="004F0C20">
        <w:rPr>
          <w:rFonts w:ascii="Calibri-Bold" w:hAnsi="Calibri-Bold" w:cs="Calibri-Bold"/>
          <w:b/>
          <w:bCs/>
          <w:sz w:val="44"/>
          <w:szCs w:val="44"/>
        </w:rPr>
        <w:t xml:space="preserve"> </w:t>
      </w:r>
      <w:r w:rsidR="004F0C20" w:rsidRPr="00E94005">
        <w:rPr>
          <w:rFonts w:ascii="Calibri-Bold" w:hAnsi="Calibri-Bold" w:cs="Calibri-Bold"/>
          <w:b/>
          <w:bCs/>
          <w:color w:val="C00000"/>
          <w:sz w:val="28"/>
          <w:szCs w:val="28"/>
        </w:rPr>
        <w:t>NAME:</w:t>
      </w:r>
      <w:r w:rsidR="00A61AEF">
        <w:rPr>
          <w:rFonts w:ascii="Calibri-Bold" w:hAnsi="Calibri-Bold" w:cs="Calibri-Bold"/>
          <w:b/>
          <w:bCs/>
          <w:color w:val="C00000"/>
          <w:sz w:val="28"/>
          <w:szCs w:val="28"/>
        </w:rPr>
        <w:t xml:space="preserve"> Dianne </w:t>
      </w:r>
      <w:proofErr w:type="spellStart"/>
      <w:r w:rsidR="00A61AEF">
        <w:rPr>
          <w:rFonts w:ascii="Calibri-Bold" w:hAnsi="Calibri-Bold" w:cs="Calibri-Bold"/>
          <w:b/>
          <w:bCs/>
          <w:color w:val="C00000"/>
          <w:sz w:val="28"/>
          <w:szCs w:val="28"/>
        </w:rPr>
        <w:t>Fenlason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2160"/>
        <w:gridCol w:w="3150"/>
        <w:gridCol w:w="3420"/>
        <w:gridCol w:w="4237"/>
        <w:gridCol w:w="4673"/>
        <w:gridCol w:w="450"/>
      </w:tblGrid>
      <w:tr w:rsidR="007313AD" w:rsidRPr="00284A10">
        <w:tc>
          <w:tcPr>
            <w:tcW w:w="5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D03"/>
          </w:tcPr>
          <w:p w:rsidR="007313AD" w:rsidRPr="00284A10" w:rsidRDefault="007313AD" w:rsidP="00284A10">
            <w:pPr>
              <w:rPr>
                <w:b/>
              </w:rPr>
            </w:pPr>
          </w:p>
        </w:tc>
        <w:tc>
          <w:tcPr>
            <w:tcW w:w="176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CDC8E2"/>
          </w:tcPr>
          <w:p w:rsidR="007313AD" w:rsidRPr="00284A10" w:rsidRDefault="0043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Essential Questions</w:t>
            </w:r>
            <w:r w:rsidR="007313AD" w:rsidRPr="00284A10">
              <w:rPr>
                <w:b/>
                <w:sz w:val="28"/>
                <w:szCs w:val="28"/>
              </w:rPr>
              <w:t xml:space="preserve">: </w:t>
            </w:r>
            <w:r w:rsidR="00B070F6">
              <w:rPr>
                <w:b/>
                <w:sz w:val="28"/>
                <w:szCs w:val="28"/>
              </w:rPr>
              <w:t xml:space="preserve">How do I ensure my middle school band students are successful with music literacy to better prepare them for high school </w:t>
            </w:r>
            <w:proofErr w:type="gramStart"/>
            <w:r w:rsidR="00B070F6">
              <w:rPr>
                <w:b/>
                <w:sz w:val="28"/>
                <w:szCs w:val="28"/>
              </w:rPr>
              <w:t>ensembles</w:t>
            </w:r>
            <w:r w:rsidR="00AD6499">
              <w:rPr>
                <w:b/>
                <w:sz w:val="28"/>
                <w:szCs w:val="28"/>
              </w:rPr>
              <w:t>.</w:t>
            </w:r>
            <w:proofErr w:type="gramEnd"/>
            <w:r w:rsidR="003E5562">
              <w:rPr>
                <w:b/>
                <w:sz w:val="28"/>
                <w:szCs w:val="28"/>
              </w:rPr>
              <w:t xml:space="preserve">  What skills are essential to reach performance proficiency in middle school band</w:t>
            </w:r>
            <w:r w:rsidR="00BB295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B2957">
              <w:rPr>
                <w:b/>
                <w:sz w:val="28"/>
                <w:szCs w:val="28"/>
              </w:rPr>
              <w:t>lessons</w:t>
            </w:r>
            <w:r w:rsidR="003E5562">
              <w:rPr>
                <w:b/>
                <w:sz w:val="28"/>
                <w:szCs w:val="28"/>
              </w:rPr>
              <w:t>.</w:t>
            </w:r>
            <w:proofErr w:type="gramEnd"/>
          </w:p>
          <w:p w:rsidR="007313AD" w:rsidRPr="00284A10" w:rsidRDefault="007313AD">
            <w:pPr>
              <w:rPr>
                <w:b/>
                <w:sz w:val="28"/>
                <w:szCs w:val="28"/>
              </w:rPr>
            </w:pPr>
          </w:p>
          <w:p w:rsidR="007313AD" w:rsidRPr="00284A10" w:rsidRDefault="007313AD">
            <w:pPr>
              <w:rPr>
                <w:b/>
                <w:sz w:val="28"/>
                <w:szCs w:val="28"/>
              </w:rPr>
            </w:pPr>
          </w:p>
          <w:p w:rsidR="007313AD" w:rsidRPr="00284A10" w:rsidRDefault="0043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Workshop Title</w:t>
            </w:r>
            <w:r w:rsidR="007313AD" w:rsidRPr="00284A10">
              <w:rPr>
                <w:b/>
                <w:sz w:val="28"/>
                <w:szCs w:val="28"/>
              </w:rPr>
              <w:t xml:space="preserve">: </w:t>
            </w:r>
            <w:r w:rsidR="00BB2957">
              <w:rPr>
                <w:b/>
                <w:sz w:val="28"/>
                <w:szCs w:val="28"/>
              </w:rPr>
              <w:t>Guiding</w:t>
            </w:r>
            <w:r w:rsidR="00B070F6">
              <w:rPr>
                <w:b/>
                <w:sz w:val="28"/>
                <w:szCs w:val="28"/>
              </w:rPr>
              <w:t xml:space="preserve"> the young </w:t>
            </w:r>
            <w:proofErr w:type="spellStart"/>
            <w:r w:rsidR="00B070F6">
              <w:rPr>
                <w:b/>
                <w:sz w:val="28"/>
                <w:szCs w:val="28"/>
              </w:rPr>
              <w:t>Padawan</w:t>
            </w:r>
            <w:proofErr w:type="spellEnd"/>
            <w:r w:rsidR="00B070F6">
              <w:rPr>
                <w:b/>
                <w:sz w:val="28"/>
                <w:szCs w:val="28"/>
              </w:rPr>
              <w:t xml:space="preserve"> to </w:t>
            </w:r>
            <w:r w:rsidR="00BB2957">
              <w:rPr>
                <w:b/>
                <w:sz w:val="28"/>
                <w:szCs w:val="28"/>
              </w:rPr>
              <w:t xml:space="preserve">become </w:t>
            </w:r>
            <w:r w:rsidR="00B070F6">
              <w:rPr>
                <w:b/>
                <w:sz w:val="28"/>
                <w:szCs w:val="28"/>
              </w:rPr>
              <w:t>the Jedi Music Master</w:t>
            </w:r>
          </w:p>
          <w:p w:rsidR="007313AD" w:rsidRPr="00284A10" w:rsidRDefault="007313AD">
            <w:pPr>
              <w:rPr>
                <w:b/>
              </w:rPr>
            </w:pPr>
          </w:p>
          <w:p w:rsidR="007313AD" w:rsidRPr="00284A10" w:rsidRDefault="007313AD" w:rsidP="005747C5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5BD03"/>
          </w:tcPr>
          <w:p w:rsidR="007313AD" w:rsidRPr="00284A10" w:rsidRDefault="007313AD">
            <w:pPr>
              <w:rPr>
                <w:b/>
              </w:rPr>
            </w:pPr>
          </w:p>
        </w:tc>
      </w:tr>
      <w:tr w:rsidR="007313AD" w:rsidRPr="00284A10">
        <w:tc>
          <w:tcPr>
            <w:tcW w:w="5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5BD03"/>
          </w:tcPr>
          <w:p w:rsidR="007313AD" w:rsidRPr="00284A10" w:rsidRDefault="007313AD">
            <w:pPr>
              <w:rPr>
                <w:b/>
              </w:rPr>
            </w:pPr>
          </w:p>
        </w:tc>
        <w:tc>
          <w:tcPr>
            <w:tcW w:w="17640" w:type="dxa"/>
            <w:gridSpan w:val="5"/>
            <w:vMerge/>
            <w:tcBorders>
              <w:left w:val="nil"/>
              <w:right w:val="nil"/>
            </w:tcBorders>
            <w:shd w:val="clear" w:color="auto" w:fill="CDC8E2"/>
          </w:tcPr>
          <w:p w:rsidR="007313AD" w:rsidRPr="00284A10" w:rsidRDefault="007313AD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5BD03"/>
          </w:tcPr>
          <w:p w:rsidR="007313AD" w:rsidRPr="00284A10" w:rsidRDefault="007313AD">
            <w:pPr>
              <w:rPr>
                <w:b/>
              </w:rPr>
            </w:pPr>
          </w:p>
        </w:tc>
      </w:tr>
      <w:tr w:rsidR="007313AD" w:rsidRPr="00284A10">
        <w:tc>
          <w:tcPr>
            <w:tcW w:w="558" w:type="dxa"/>
            <w:vMerge/>
            <w:tcBorders>
              <w:left w:val="nil"/>
              <w:bottom w:val="single" w:sz="4" w:space="0" w:color="auto"/>
            </w:tcBorders>
            <w:shd w:val="clear" w:color="auto" w:fill="95BD03"/>
          </w:tcPr>
          <w:p w:rsidR="007313AD" w:rsidRPr="00284A10" w:rsidRDefault="007313AD">
            <w:pPr>
              <w:rPr>
                <w:b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988EC4"/>
          </w:tcPr>
          <w:p w:rsidR="007313AD" w:rsidRPr="00284A10" w:rsidRDefault="007313AD" w:rsidP="007313AD">
            <w:pPr>
              <w:ind w:firstLine="720"/>
              <w:rPr>
                <w:b/>
                <w:sz w:val="26"/>
                <w:szCs w:val="26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988EC4"/>
          </w:tcPr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988EC4"/>
          </w:tcPr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</w:tc>
        <w:tc>
          <w:tcPr>
            <w:tcW w:w="4237" w:type="dxa"/>
            <w:tcBorders>
              <w:left w:val="nil"/>
              <w:right w:val="nil"/>
            </w:tcBorders>
            <w:shd w:val="clear" w:color="auto" w:fill="988EC4"/>
          </w:tcPr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</w:tc>
        <w:tc>
          <w:tcPr>
            <w:tcW w:w="4673" w:type="dxa"/>
            <w:tcBorders>
              <w:left w:val="nil"/>
            </w:tcBorders>
            <w:shd w:val="clear" w:color="auto" w:fill="988EC4"/>
          </w:tcPr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95BD03"/>
          </w:tcPr>
          <w:p w:rsidR="007313AD" w:rsidRPr="00284A10" w:rsidRDefault="007313AD">
            <w:pPr>
              <w:rPr>
                <w:b/>
              </w:rPr>
            </w:pPr>
          </w:p>
        </w:tc>
      </w:tr>
      <w:tr w:rsidR="00671662" w:rsidRPr="00284A10">
        <w:tc>
          <w:tcPr>
            <w:tcW w:w="558" w:type="dxa"/>
            <w:vMerge/>
            <w:tcBorders>
              <w:left w:val="nil"/>
              <w:bottom w:val="nil"/>
            </w:tcBorders>
            <w:shd w:val="clear" w:color="auto" w:fill="95BD03"/>
          </w:tcPr>
          <w:p w:rsidR="007313AD" w:rsidRPr="00284A10" w:rsidRDefault="007313A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988EC4"/>
          </w:tcPr>
          <w:p w:rsidR="007313AD" w:rsidRPr="00284A10" w:rsidRDefault="007313AD">
            <w:pPr>
              <w:rPr>
                <w:b/>
                <w:sz w:val="26"/>
                <w:szCs w:val="26"/>
              </w:rPr>
            </w:pPr>
            <w:r w:rsidRPr="00E94005">
              <w:rPr>
                <w:b/>
                <w:sz w:val="26"/>
                <w:szCs w:val="26"/>
                <w:u w:val="single"/>
              </w:rPr>
              <w:t>Rationale</w:t>
            </w:r>
            <w:r w:rsidRPr="00284A10">
              <w:rPr>
                <w:b/>
                <w:sz w:val="26"/>
                <w:szCs w:val="26"/>
              </w:rPr>
              <w:t>:</w:t>
            </w:r>
            <w:r w:rsidR="005747C5">
              <w:rPr>
                <w:b/>
                <w:sz w:val="26"/>
                <w:szCs w:val="26"/>
              </w:rPr>
              <w:t xml:space="preserve"> Music literacy can be successfully achieved through a </w:t>
            </w:r>
            <w:proofErr w:type="spellStart"/>
            <w:r w:rsidR="005747C5">
              <w:rPr>
                <w:b/>
                <w:sz w:val="26"/>
                <w:szCs w:val="26"/>
              </w:rPr>
              <w:t>scaffolded</w:t>
            </w:r>
            <w:proofErr w:type="spellEnd"/>
            <w:r w:rsidR="005747C5">
              <w:rPr>
                <w:b/>
                <w:sz w:val="26"/>
                <w:szCs w:val="26"/>
              </w:rPr>
              <w:t xml:space="preserve"> performance level system and student progres</w:t>
            </w:r>
            <w:r w:rsidR="00BB1812">
              <w:rPr>
                <w:b/>
                <w:sz w:val="26"/>
                <w:szCs w:val="26"/>
              </w:rPr>
              <w:t>s can be monitored through self</w:t>
            </w:r>
            <w:r w:rsidR="003D64B3">
              <w:rPr>
                <w:b/>
                <w:sz w:val="26"/>
                <w:szCs w:val="26"/>
              </w:rPr>
              <w:t>-</w:t>
            </w:r>
            <w:r w:rsidR="009A4F6E">
              <w:rPr>
                <w:b/>
                <w:sz w:val="26"/>
                <w:szCs w:val="26"/>
              </w:rPr>
              <w:t>assess</w:t>
            </w:r>
            <w:r w:rsidR="005747C5">
              <w:rPr>
                <w:b/>
                <w:sz w:val="26"/>
                <w:szCs w:val="26"/>
              </w:rPr>
              <w:t>ment.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7313AD" w:rsidRPr="00284A10" w:rsidRDefault="004366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Workshop Objective</w:t>
            </w:r>
            <w:r w:rsidR="007313AD" w:rsidRPr="00284A10">
              <w:rPr>
                <w:b/>
                <w:sz w:val="26"/>
                <w:szCs w:val="26"/>
              </w:rPr>
              <w:t>:</w:t>
            </w:r>
            <w:r w:rsidR="005747C5">
              <w:rPr>
                <w:b/>
                <w:sz w:val="26"/>
                <w:szCs w:val="26"/>
              </w:rPr>
              <w:t xml:space="preserve"> Teachers will be shown an instructional system created to assess music literacy in middle school</w:t>
            </w:r>
            <w:r w:rsidR="00A775FB">
              <w:rPr>
                <w:b/>
                <w:sz w:val="26"/>
                <w:szCs w:val="26"/>
              </w:rPr>
              <w:t xml:space="preserve"> band</w:t>
            </w:r>
            <w:r w:rsidR="005747C5">
              <w:rPr>
                <w:b/>
                <w:sz w:val="26"/>
                <w:szCs w:val="26"/>
              </w:rPr>
              <w:t xml:space="preserve"> </w:t>
            </w:r>
            <w:r w:rsidR="00BB1812">
              <w:rPr>
                <w:b/>
                <w:sz w:val="26"/>
                <w:szCs w:val="26"/>
              </w:rPr>
              <w:t>sectionals.</w:t>
            </w:r>
            <w:r w:rsidR="00A775FB">
              <w:rPr>
                <w:b/>
                <w:sz w:val="26"/>
                <w:szCs w:val="26"/>
              </w:rPr>
              <w:t xml:space="preserve"> </w:t>
            </w: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FFFAE7"/>
          </w:tcPr>
          <w:p w:rsidR="007313AD" w:rsidRPr="00284A10" w:rsidRDefault="004366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Workshop Description</w:t>
            </w:r>
            <w:r w:rsidR="007313AD" w:rsidRPr="00284A10">
              <w:rPr>
                <w:b/>
                <w:sz w:val="26"/>
                <w:szCs w:val="26"/>
              </w:rPr>
              <w:t>:</w:t>
            </w:r>
            <w:r w:rsidR="009A4F6E">
              <w:rPr>
                <w:b/>
                <w:sz w:val="26"/>
                <w:szCs w:val="26"/>
              </w:rPr>
              <w:t xml:space="preserve"> Participants will be presented a model of a performance level system for the individual middle school band stu</w:t>
            </w:r>
            <w:r w:rsidR="004E26A4">
              <w:rPr>
                <w:b/>
                <w:sz w:val="26"/>
                <w:szCs w:val="26"/>
              </w:rPr>
              <w:t>dent</w:t>
            </w:r>
            <w:r w:rsidR="009A4F6E">
              <w:rPr>
                <w:b/>
                <w:sz w:val="26"/>
                <w:szCs w:val="26"/>
              </w:rPr>
              <w:t xml:space="preserve"> and shown how self-assessment can guide student achievement.</w:t>
            </w: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auto"/>
            </w:tcBorders>
            <w:shd w:val="clear" w:color="auto" w:fill="FFF0AF"/>
          </w:tcPr>
          <w:p w:rsidR="007313AD" w:rsidRPr="00284A10" w:rsidRDefault="004366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Timeline</w:t>
            </w:r>
            <w:r w:rsidR="007313AD" w:rsidRPr="00284A10">
              <w:rPr>
                <w:b/>
                <w:sz w:val="26"/>
                <w:szCs w:val="26"/>
              </w:rPr>
              <w:t>:</w:t>
            </w: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  <w:r w:rsidRPr="00284A10">
              <w:rPr>
                <w:b/>
                <w:sz w:val="26"/>
                <w:szCs w:val="26"/>
              </w:rPr>
              <w:t>1 month:</w:t>
            </w:r>
            <w:r w:rsidR="004E26A4">
              <w:rPr>
                <w:b/>
                <w:sz w:val="26"/>
                <w:szCs w:val="26"/>
              </w:rPr>
              <w:t xml:space="preserve"> Complete new self-assessment rubric, learn to use Google Forms to monitor student progress, upload Sibelius files to Google Docs</w:t>
            </w: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  <w:r w:rsidRPr="00284A10">
              <w:rPr>
                <w:b/>
                <w:sz w:val="26"/>
                <w:szCs w:val="26"/>
              </w:rPr>
              <w:t>3 month:</w:t>
            </w:r>
            <w:r w:rsidR="004E26A4">
              <w:rPr>
                <w:b/>
                <w:sz w:val="26"/>
                <w:szCs w:val="26"/>
              </w:rPr>
              <w:t xml:space="preserve"> Gather student feedback on the new rubric, record student performance samples, monitor student self-assessment changes</w:t>
            </w:r>
            <w:r w:rsidR="005F38D5">
              <w:rPr>
                <w:b/>
                <w:sz w:val="26"/>
                <w:szCs w:val="26"/>
              </w:rPr>
              <w:t xml:space="preserve">, </w:t>
            </w: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  <w:r w:rsidRPr="00284A10">
              <w:rPr>
                <w:b/>
                <w:sz w:val="26"/>
                <w:szCs w:val="26"/>
              </w:rPr>
              <w:t>6 month:</w:t>
            </w:r>
            <w:r w:rsidR="004E26A4">
              <w:rPr>
                <w:b/>
                <w:sz w:val="26"/>
                <w:szCs w:val="26"/>
              </w:rPr>
              <w:t xml:space="preserve"> Gather student progress data, </w:t>
            </w:r>
            <w:r w:rsidR="005F38D5">
              <w:rPr>
                <w:b/>
                <w:sz w:val="26"/>
                <w:szCs w:val="26"/>
              </w:rPr>
              <w:t xml:space="preserve">practice and </w:t>
            </w:r>
            <w:r w:rsidR="004E26A4">
              <w:rPr>
                <w:b/>
                <w:sz w:val="26"/>
                <w:szCs w:val="26"/>
              </w:rPr>
              <w:t>present workshop to other educators</w:t>
            </w: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nil"/>
              <w:bottom w:val="single" w:sz="4" w:space="0" w:color="auto"/>
            </w:tcBorders>
            <w:shd w:val="clear" w:color="auto" w:fill="FFE471"/>
          </w:tcPr>
          <w:p w:rsidR="007313AD" w:rsidRPr="00284A10" w:rsidRDefault="004366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Resources Needed</w:t>
            </w:r>
            <w:r w:rsidR="007313AD" w:rsidRPr="00284A10">
              <w:rPr>
                <w:b/>
                <w:sz w:val="26"/>
                <w:szCs w:val="26"/>
              </w:rPr>
              <w:t>:</w:t>
            </w:r>
            <w:r w:rsidR="005F38D5">
              <w:rPr>
                <w:b/>
                <w:sz w:val="26"/>
                <w:szCs w:val="26"/>
              </w:rPr>
              <w:t xml:space="preserve"> </w:t>
            </w:r>
            <w:r w:rsidR="00E91411">
              <w:rPr>
                <w:b/>
                <w:sz w:val="26"/>
                <w:szCs w:val="26"/>
              </w:rPr>
              <w:t>Lesson books, Level System handouts, Student Rubric, audio samples, student participation</w:t>
            </w: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Default="007313AD">
            <w:pPr>
              <w:rPr>
                <w:b/>
                <w:sz w:val="26"/>
                <w:szCs w:val="26"/>
              </w:rPr>
            </w:pPr>
          </w:p>
          <w:p w:rsidR="004366F6" w:rsidRDefault="004366F6">
            <w:pPr>
              <w:rPr>
                <w:b/>
                <w:sz w:val="26"/>
                <w:szCs w:val="26"/>
              </w:rPr>
            </w:pPr>
          </w:p>
          <w:p w:rsidR="004366F6" w:rsidRPr="00284A10" w:rsidRDefault="004366F6">
            <w:pPr>
              <w:rPr>
                <w:b/>
                <w:sz w:val="26"/>
                <w:szCs w:val="26"/>
              </w:rPr>
            </w:pPr>
          </w:p>
          <w:p w:rsidR="007313AD" w:rsidRPr="00284A10" w:rsidRDefault="004366F6">
            <w:pPr>
              <w:rPr>
                <w:b/>
                <w:sz w:val="26"/>
                <w:szCs w:val="26"/>
              </w:rPr>
            </w:pPr>
            <w:r w:rsidRPr="004366F6">
              <w:rPr>
                <w:b/>
                <w:sz w:val="26"/>
                <w:szCs w:val="26"/>
                <w:u w:val="single"/>
              </w:rPr>
              <w:t>Support Needed</w:t>
            </w:r>
            <w:r>
              <w:rPr>
                <w:b/>
                <w:sz w:val="26"/>
                <w:szCs w:val="26"/>
              </w:rPr>
              <w:t>:</w:t>
            </w:r>
            <w:r w:rsidR="00E91411">
              <w:rPr>
                <w:b/>
                <w:sz w:val="26"/>
                <w:szCs w:val="26"/>
              </w:rPr>
              <w:t xml:space="preserve"> Google Docs </w:t>
            </w:r>
            <w:r w:rsidR="00575D54">
              <w:rPr>
                <w:b/>
                <w:sz w:val="26"/>
                <w:szCs w:val="26"/>
              </w:rPr>
              <w:t xml:space="preserve">and Google Forms tech support, </w:t>
            </w:r>
            <w:r w:rsidR="00E91411">
              <w:rPr>
                <w:b/>
                <w:sz w:val="26"/>
                <w:szCs w:val="26"/>
              </w:rPr>
              <w:t xml:space="preserve">projector, laptop, audio speakers, release time from administrators </w:t>
            </w: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  <w:p w:rsidR="007313AD" w:rsidRPr="00284A10" w:rsidRDefault="007313AD">
            <w:pPr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95BD03"/>
          </w:tcPr>
          <w:p w:rsidR="007313AD" w:rsidRPr="00284A10" w:rsidRDefault="007313AD">
            <w:pPr>
              <w:rPr>
                <w:b/>
              </w:rPr>
            </w:pPr>
          </w:p>
        </w:tc>
      </w:tr>
      <w:tr w:rsidR="007313AD" w:rsidRPr="00284A10">
        <w:tc>
          <w:tcPr>
            <w:tcW w:w="18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5BD03"/>
          </w:tcPr>
          <w:p w:rsidR="007313AD" w:rsidRDefault="007313AD">
            <w:pPr>
              <w:rPr>
                <w:b/>
              </w:rPr>
            </w:pPr>
            <w:r w:rsidRPr="00284A10">
              <w:rPr>
                <w:b/>
                <w:sz w:val="28"/>
                <w:szCs w:val="28"/>
              </w:rPr>
              <w:t xml:space="preserve">       Student Impact:   (</w:t>
            </w:r>
            <w:proofErr w:type="gramStart"/>
            <w:r w:rsidRPr="00284A10">
              <w:rPr>
                <w:b/>
                <w:sz w:val="28"/>
                <w:szCs w:val="28"/>
              </w:rPr>
              <w:t>If…,</w:t>
            </w:r>
            <w:proofErr w:type="gramEnd"/>
            <w:r w:rsidRPr="00284A10">
              <w:rPr>
                <w:b/>
                <w:sz w:val="28"/>
                <w:szCs w:val="28"/>
              </w:rPr>
              <w:t xml:space="preserve"> then…)</w:t>
            </w:r>
            <w:r w:rsidR="004F60D5">
              <w:rPr>
                <w:b/>
                <w:sz w:val="28"/>
                <w:szCs w:val="28"/>
              </w:rPr>
              <w:t xml:space="preserve"> If </w:t>
            </w:r>
            <w:r w:rsidR="00D655C9">
              <w:rPr>
                <w:b/>
                <w:sz w:val="28"/>
                <w:szCs w:val="28"/>
              </w:rPr>
              <w:t xml:space="preserve">middle school band </w:t>
            </w:r>
            <w:r w:rsidR="004F60D5">
              <w:rPr>
                <w:b/>
                <w:sz w:val="28"/>
                <w:szCs w:val="28"/>
              </w:rPr>
              <w:t>students can utili</w:t>
            </w:r>
            <w:r w:rsidR="00D655C9">
              <w:rPr>
                <w:b/>
                <w:sz w:val="28"/>
                <w:szCs w:val="28"/>
              </w:rPr>
              <w:t>ze self-assessment to improve</w:t>
            </w:r>
            <w:r w:rsidR="004F60D5">
              <w:rPr>
                <w:b/>
                <w:sz w:val="28"/>
                <w:szCs w:val="28"/>
              </w:rPr>
              <w:t xml:space="preserve"> their musical literacy</w:t>
            </w:r>
            <w:r w:rsidR="00D655C9">
              <w:rPr>
                <w:b/>
                <w:sz w:val="28"/>
                <w:szCs w:val="28"/>
              </w:rPr>
              <w:t xml:space="preserve"> and performance skill then they will be better prepared for high school ensembles.</w:t>
            </w:r>
          </w:p>
          <w:p w:rsidR="00E94005" w:rsidRPr="00284A10" w:rsidRDefault="00E94005">
            <w:pPr>
              <w:rPr>
                <w:b/>
              </w:rPr>
            </w:pPr>
          </w:p>
        </w:tc>
      </w:tr>
    </w:tbl>
    <w:p w:rsidR="004F0C20" w:rsidRDefault="004F0C20" w:rsidP="00E94005"/>
    <w:sectPr w:rsidR="004F0C20" w:rsidSect="0083487E">
      <w:pgSz w:w="20160" w:h="12240" w:orient="landscape" w:code="1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B2957" w:rsidRDefault="00BB2957" w:rsidP="0083487E">
      <w:pPr>
        <w:spacing w:after="0" w:line="240" w:lineRule="auto"/>
      </w:pPr>
      <w:r>
        <w:separator/>
      </w:r>
    </w:p>
  </w:endnote>
  <w:endnote w:type="continuationSeparator" w:id="1">
    <w:p w:rsidR="00BB2957" w:rsidRDefault="00BB2957" w:rsidP="008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B2957" w:rsidRDefault="00BB2957" w:rsidP="0083487E">
      <w:pPr>
        <w:spacing w:after="0" w:line="240" w:lineRule="auto"/>
      </w:pPr>
      <w:r>
        <w:separator/>
      </w:r>
    </w:p>
  </w:footnote>
  <w:footnote w:type="continuationSeparator" w:id="1">
    <w:p w:rsidR="00BB2957" w:rsidRDefault="00BB2957" w:rsidP="0083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87E"/>
    <w:rsid w:val="000B6DA6"/>
    <w:rsid w:val="00215CAA"/>
    <w:rsid w:val="00284A10"/>
    <w:rsid w:val="00285ADA"/>
    <w:rsid w:val="003D64B3"/>
    <w:rsid w:val="003E5562"/>
    <w:rsid w:val="004366F6"/>
    <w:rsid w:val="004E26A4"/>
    <w:rsid w:val="004F0C20"/>
    <w:rsid w:val="004F60D5"/>
    <w:rsid w:val="005747C5"/>
    <w:rsid w:val="00575D54"/>
    <w:rsid w:val="005D310E"/>
    <w:rsid w:val="005F38D5"/>
    <w:rsid w:val="00671662"/>
    <w:rsid w:val="007313AD"/>
    <w:rsid w:val="007F70B8"/>
    <w:rsid w:val="0083487E"/>
    <w:rsid w:val="00860FDD"/>
    <w:rsid w:val="009A4F6E"/>
    <w:rsid w:val="00A61AEF"/>
    <w:rsid w:val="00A775FB"/>
    <w:rsid w:val="00AA1955"/>
    <w:rsid w:val="00AD6499"/>
    <w:rsid w:val="00B070F6"/>
    <w:rsid w:val="00B32D65"/>
    <w:rsid w:val="00BB1812"/>
    <w:rsid w:val="00BB2957"/>
    <w:rsid w:val="00D655C9"/>
    <w:rsid w:val="00E91411"/>
    <w:rsid w:val="00E9400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7E"/>
  </w:style>
  <w:style w:type="paragraph" w:styleId="Footer">
    <w:name w:val="footer"/>
    <w:basedOn w:val="Normal"/>
    <w:link w:val="FooterChar"/>
    <w:uiPriority w:val="99"/>
    <w:unhideWhenUsed/>
    <w:rsid w:val="008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7E"/>
  </w:style>
  <w:style w:type="paragraph" w:styleId="BalloonText">
    <w:name w:val="Balloon Text"/>
    <w:basedOn w:val="Normal"/>
    <w:link w:val="BalloonTextChar"/>
    <w:uiPriority w:val="99"/>
    <w:semiHidden/>
    <w:unhideWhenUsed/>
    <w:rsid w:val="0083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7E"/>
  </w:style>
  <w:style w:type="paragraph" w:styleId="Footer">
    <w:name w:val="footer"/>
    <w:basedOn w:val="Normal"/>
    <w:link w:val="FooterChar"/>
    <w:uiPriority w:val="99"/>
    <w:unhideWhenUsed/>
    <w:rsid w:val="008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7E"/>
  </w:style>
  <w:style w:type="paragraph" w:styleId="BalloonText">
    <w:name w:val="Balloon Text"/>
    <w:basedOn w:val="Normal"/>
    <w:link w:val="BalloonTextChar"/>
    <w:uiPriority w:val="99"/>
    <w:semiHidden/>
    <w:unhideWhenUsed/>
    <w:rsid w:val="0083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251</Words>
  <Characters>1433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Priscilla</dc:creator>
  <cp:lastModifiedBy>dianne fenlason</cp:lastModifiedBy>
  <cp:revision>15</cp:revision>
  <cp:lastPrinted>2015-07-28T15:52:00Z</cp:lastPrinted>
  <dcterms:created xsi:type="dcterms:W3CDTF">2015-08-10T18:48:00Z</dcterms:created>
  <dcterms:modified xsi:type="dcterms:W3CDTF">2015-08-15T14:08:00Z</dcterms:modified>
</cp:coreProperties>
</file>